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Age Ratings - Parent Guide</w:t>
      </w:r>
    </w:p>
    <w:p w:rsidR="00000000" w:rsidDel="00000000" w:rsidP="00000000" w:rsidRDefault="00000000" w:rsidRPr="00000000" w14:paraId="00000002">
      <w:pPr>
        <w:spacing w:after="200" w:line="276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 quick guide to what parents need to know</w:t>
      </w:r>
    </w:p>
    <w:p w:rsidR="00000000" w:rsidDel="00000000" w:rsidP="00000000" w:rsidRDefault="00000000" w:rsidRPr="00000000" w14:paraId="00000003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are age ratings?</w:t>
      </w:r>
    </w:p>
    <w:p w:rsidR="00000000" w:rsidDel="00000000" w:rsidP="00000000" w:rsidRDefault="00000000" w:rsidRPr="00000000" w14:paraId="00000005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Age ratings tell us which online platforms, such as apps and websites, are </w:t>
      </w:r>
      <w:r w:rsidDel="00000000" w:rsidR="00000000" w:rsidRPr="00000000">
        <w:rPr>
          <w:b w:val="1"/>
          <w:rtl w:val="0"/>
        </w:rPr>
        <w:t xml:space="preserve">suitable for different age ranges</w:t>
      </w:r>
      <w:r w:rsidDel="00000000" w:rsidR="00000000" w:rsidRPr="00000000">
        <w:rPr>
          <w:rtl w:val="0"/>
        </w:rPr>
        <w:t xml:space="preserve">. These protect children from inappropriate content and data collection. Most platforms have an official age rating – but these can differ from place to place. For example, Instagram is officially rated 13+, but is rated 12+ in app stores. PEGI’s ratings for games can also differ. It can be confusing, but most age ratings will guide you in deciding which platforms are appropriate.</w:t>
      </w:r>
    </w:p>
    <w:p w:rsidR="00000000" w:rsidDel="00000000" w:rsidP="00000000" w:rsidRDefault="00000000" w:rsidRPr="00000000" w14:paraId="00000006">
      <w:pPr>
        <w:spacing w:after="20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Why are some platforms rated under-13?</w:t>
      </w:r>
    </w:p>
    <w:p w:rsidR="00000000" w:rsidDel="00000000" w:rsidP="00000000" w:rsidRDefault="00000000" w:rsidRPr="00000000" w14:paraId="00000008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These have content suitable for children. Additionally, laws regulate the collection of personal information for under-13s. Many under-13 platforms still need parental consent – for instance YouTube Kids (4+), PopJam (7+) and Minecraft (9+).</w:t>
      </w:r>
    </w:p>
    <w:p w:rsidR="00000000" w:rsidDel="00000000" w:rsidP="00000000" w:rsidRDefault="00000000" w:rsidRPr="00000000" w14:paraId="00000009">
      <w:pPr>
        <w:spacing w:after="20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0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Why are some platforms rated 13+?</w:t>
      </w:r>
    </w:p>
    <w:p w:rsidR="00000000" w:rsidDel="00000000" w:rsidP="00000000" w:rsidRDefault="00000000" w:rsidRPr="00000000" w14:paraId="0000000B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These may feature stuff that’s not suitable for younger children, such as graphic violence or sexualised content. Most popular social media platforms – including Instagram, YouTube and TikTok – are rated 13+. But it’s not hard for younger children to join 13+ platforms. Many ask a new user for their date of birth, but do not require proof.</w:t>
      </w:r>
    </w:p>
    <w:p w:rsidR="00000000" w:rsidDel="00000000" w:rsidP="00000000" w:rsidRDefault="00000000" w:rsidRPr="00000000" w14:paraId="0000000C">
      <w:pPr>
        <w:spacing w:after="200" w:line="276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0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Why are some platforms rated 18+?</w:t>
      </w:r>
    </w:p>
    <w:p w:rsidR="00000000" w:rsidDel="00000000" w:rsidP="00000000" w:rsidRDefault="00000000" w:rsidRPr="00000000" w14:paraId="0000000E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These contain age-restricted content – like gaming, alcohol or porn. But many 18+ platforms are accessible to children and young people. Usually this is because they do not verify a user’s age, or have a process that can be bypassed.</w:t>
      </w:r>
    </w:p>
    <w:p w:rsidR="00000000" w:rsidDel="00000000" w:rsidP="00000000" w:rsidRDefault="00000000" w:rsidRPr="00000000" w14:paraId="0000000F">
      <w:pPr>
        <w:spacing w:after="20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0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should I do?</w:t>
      </w:r>
    </w:p>
    <w:p w:rsidR="00000000" w:rsidDel="00000000" w:rsidP="00000000" w:rsidRDefault="00000000" w:rsidRPr="00000000" w14:paraId="00000011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Familiarise yourself with age ratings and the platforms your child uses. They may be desperate to sign-up to TikTok – but explore the app together first to decide if it’s suitable. If your child does use a 13+ platform, take a look at the privacy settings with them and make sure they know how to block or report a problem. And never just assume your child isn’t visiting 13+ or 18+ platforms. Children are naturally curious, and may be tempted to explore – especially if a platform doesn’t verify their age.</w:t>
      </w:r>
    </w:p>
    <w:p w:rsidR="00000000" w:rsidDel="00000000" w:rsidP="00000000" w:rsidRDefault="00000000" w:rsidRPr="00000000" w14:paraId="00000012">
      <w:pPr>
        <w:spacing w:after="20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00" w:line="276" w:lineRule="auto"/>
        <w:rPr/>
      </w:pPr>
      <w:r w:rsidDel="00000000" w:rsidR="00000000" w:rsidRPr="00000000">
        <w:rPr>
          <w:b w:val="1"/>
          <w:rtl w:val="0"/>
        </w:rPr>
        <w:t xml:space="preserve">More Info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00" w:line="276" w:lineRule="auto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Listen to Parent Zone’s Tech Shock podcast – discussing age-gating online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after="200" w:line="276" w:lineRule="auto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Read Parent Zone’s guides to popular apps and services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center" w:leader="none" w:pos="4513"/>
          <w:tab w:val="right" w:leader="none" w:pos="9026"/>
        </w:tabs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6838" w:w="11906" w:orient="portrait"/>
      <w:pgMar w:bottom="1296" w:top="1296" w:left="1296" w:right="1296" w:header="576" w:footer="431.9999999999999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mic Sans MS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tabs>
        <w:tab w:val="center" w:leader="none" w:pos="4513"/>
        <w:tab w:val="right" w:leader="none" w:pos="9026"/>
      </w:tabs>
      <w:spacing w:line="240" w:lineRule="auto"/>
      <w:jc w:val="right"/>
      <w:rPr>
        <w:rFonts w:ascii="Arial" w:cs="Arial" w:eastAsia="Arial" w:hAnsi="Arial"/>
        <w:color w:val="350088"/>
        <w:sz w:val="20"/>
        <w:szCs w:val="20"/>
      </w:rPr>
    </w:pPr>
    <w:r w:rsidDel="00000000" w:rsidR="00000000" w:rsidRPr="00000000">
      <w:rPr>
        <w:rFonts w:ascii="Arial" w:cs="Arial" w:eastAsia="Arial" w:hAnsi="Arial"/>
      </w:rPr>
      <w:drawing>
        <wp:inline distB="114300" distT="114300" distL="114300" distR="114300">
          <wp:extent cx="1417327" cy="224604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17327" cy="22460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tabs>
        <w:tab w:val="center" w:leader="none" w:pos="4513"/>
        <w:tab w:val="right" w:leader="none" w:pos="9026"/>
      </w:tabs>
      <w:spacing w:after="0" w:line="240" w:lineRule="auto"/>
      <w:rPr>
        <w:rFonts w:ascii="Arial" w:cs="Arial" w:eastAsia="Arial" w:hAnsi="Arial"/>
        <w:color w:val="350088"/>
        <w:sz w:val="18"/>
        <w:szCs w:val="1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ageBreakBefore w:val="0"/>
      <w:tabs>
        <w:tab w:val="center" w:leader="none" w:pos="4513"/>
        <w:tab w:val="right" w:leader="none" w:pos="9026"/>
      </w:tabs>
      <w:spacing w:after="0" w:line="240" w:lineRule="auto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tbl>
    <w:tblPr>
      <w:tblStyle w:val="Table1"/>
      <w:tblW w:w="9314.0" w:type="dxa"/>
      <w:jc w:val="left"/>
      <w:tblLayout w:type="fixed"/>
      <w:tblLook w:val="0600"/>
    </w:tblPr>
    <w:tblGrid>
      <w:gridCol w:w="4657"/>
      <w:gridCol w:w="4657"/>
      <w:tblGridChange w:id="0">
        <w:tblGrid>
          <w:gridCol w:w="4657"/>
          <w:gridCol w:w="4657"/>
        </w:tblGrid>
      </w:tblGridChange>
    </w:tblGrid>
    <w:tr>
      <w:trPr>
        <w:cantSplit w:val="0"/>
        <w:tblHeader w:val="0"/>
      </w:trPr>
      <w:tc>
        <w:tcPr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center"/>
        </w:tcPr>
        <w:p w:rsidR="00000000" w:rsidDel="00000000" w:rsidP="00000000" w:rsidRDefault="00000000" w:rsidRPr="00000000" w14:paraId="00000020">
          <w:pPr>
            <w:tabs>
              <w:tab w:val="center" w:leader="none" w:pos="4513"/>
              <w:tab w:val="right" w:leader="none" w:pos="9026"/>
            </w:tabs>
            <w:spacing w:line="240" w:lineRule="auto"/>
            <w:rPr>
              <w:rFonts w:ascii="Arial" w:cs="Arial" w:eastAsia="Arial" w:hAnsi="Arial"/>
            </w:rPr>
          </w:pPr>
          <w:r w:rsidDel="00000000" w:rsidR="00000000" w:rsidRPr="00000000">
            <w:rPr>
              <w:rFonts w:ascii="Arial" w:cs="Arial" w:eastAsia="Arial" w:hAnsi="Arial"/>
            </w:rPr>
            <w:drawing>
              <wp:inline distB="114300" distT="114300" distL="114300" distR="114300">
                <wp:extent cx="1744028" cy="274921"/>
                <wp:effectExtent b="0" l="0" r="0" 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4028" cy="27492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center"/>
        </w:tcPr>
        <w:p w:rsidR="00000000" w:rsidDel="00000000" w:rsidP="00000000" w:rsidRDefault="00000000" w:rsidRPr="00000000" w14:paraId="00000021">
          <w:pPr>
            <w:tabs>
              <w:tab w:val="center" w:leader="none" w:pos="4513"/>
              <w:tab w:val="right" w:leader="none" w:pos="9026"/>
            </w:tabs>
            <w:spacing w:line="240" w:lineRule="auto"/>
            <w:jc w:val="right"/>
            <w:rPr>
              <w:rFonts w:ascii="Arial" w:cs="Arial" w:eastAsia="Arial" w:hAnsi="Arial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2">
    <w:pPr>
      <w:pageBreakBefore w:val="0"/>
      <w:tabs>
        <w:tab w:val="center" w:leader="none" w:pos="4513"/>
        <w:tab w:val="right" w:leader="none" w:pos="9026"/>
      </w:tabs>
      <w:spacing w:after="0" w:line="240" w:lineRule="auto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mic Sans MS" w:cs="Comic Sans MS" w:eastAsia="Comic Sans MS" w:hAnsi="Comic Sans MS"/>
        <w:sz w:val="28"/>
        <w:szCs w:val="28"/>
        <w:lang w:val="en-GB"/>
      </w:rPr>
    </w:rPrDefault>
    <w:pPrDefault>
      <w:pPr>
        <w:tabs>
          <w:tab w:val="center" w:leader="none" w:pos="4513"/>
          <w:tab w:val="right" w:leader="none" w:pos="9026"/>
        </w:tabs>
        <w:spacing w:after="18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tabs>
        <w:tab w:val="center" w:leader="none" w:pos="4513"/>
        <w:tab w:val="right" w:leader="none" w:pos="9026"/>
      </w:tabs>
      <w:spacing w:after="120" w:before="240" w:line="276" w:lineRule="auto"/>
    </w:pPr>
    <w:rPr>
      <w:rFonts w:ascii="Comic Sans MS" w:cs="Comic Sans MS" w:eastAsia="Comic Sans MS" w:hAnsi="Comic Sans MS"/>
      <w:b w:val="1"/>
      <w:color w:val="000000"/>
      <w:sz w:val="36"/>
      <w:szCs w:val="36"/>
    </w:rPr>
  </w:style>
  <w:style w:type="paragraph" w:styleId="Heading2">
    <w:name w:val="heading 2"/>
    <w:basedOn w:val="Normal"/>
    <w:next w:val="Normal"/>
    <w:pPr>
      <w:tabs>
        <w:tab w:val="center" w:leader="none" w:pos="4513"/>
        <w:tab w:val="right" w:leader="none" w:pos="9026"/>
      </w:tabs>
      <w:spacing w:after="120" w:before="240" w:line="276" w:lineRule="auto"/>
    </w:pPr>
    <w:rPr>
      <w:rFonts w:ascii="Comic Sans MS" w:cs="Comic Sans MS" w:eastAsia="Comic Sans MS" w:hAnsi="Comic Sans MS"/>
      <w:b w:val="1"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tabs>
        <w:tab w:val="center" w:leader="none" w:pos="4513"/>
        <w:tab w:val="right" w:leader="none" w:pos="9026"/>
      </w:tabs>
      <w:spacing w:after="120" w:before="240" w:line="276" w:lineRule="auto"/>
    </w:pPr>
    <w:rPr>
      <w:b w:val="1"/>
      <w:color w:val="37155c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ind w:left="720" w:hanging="360"/>
    </w:pPr>
    <w:rPr/>
  </w:style>
  <w:style w:type="paragraph" w:styleId="Heading5">
    <w:name w:val="heading 5"/>
    <w:basedOn w:val="Normal"/>
    <w:next w:val="Normal"/>
    <w:pPr>
      <w:keepNext w:val="1"/>
      <w:keepLines w:val="1"/>
      <w:pageBreakBefore w:val="0"/>
      <w:ind w:left="720" w:hanging="360"/>
    </w:pPr>
    <w:rPr/>
  </w:style>
  <w:style w:type="paragraph" w:styleId="Heading6">
    <w:name w:val="heading 6"/>
    <w:basedOn w:val="Normal"/>
    <w:next w:val="Normal"/>
    <w:pPr>
      <w:keepNext w:val="1"/>
      <w:keepLines w:val="1"/>
      <w:pageBreakBefore w:val="0"/>
      <w:ind w:left="720" w:hanging="360"/>
    </w:pPr>
    <w:rPr/>
  </w:style>
  <w:style w:type="paragraph" w:styleId="Title">
    <w:name w:val="Title"/>
    <w:basedOn w:val="Normal"/>
    <w:next w:val="Normal"/>
    <w:pPr>
      <w:tabs>
        <w:tab w:val="center" w:leader="none" w:pos="4513"/>
        <w:tab w:val="right" w:leader="none" w:pos="9026"/>
      </w:tabs>
      <w:spacing w:before="200" w:line="240" w:lineRule="auto"/>
    </w:pPr>
    <w:rPr>
      <w:b w:val="1"/>
      <w:color w:val="37155c"/>
      <w:sz w:val="60"/>
      <w:szCs w:val="60"/>
    </w:rPr>
  </w:style>
  <w:style w:type="paragraph" w:styleId="Subtitle">
    <w:name w:val="Subtitle"/>
    <w:basedOn w:val="Normal"/>
    <w:next w:val="Normal"/>
    <w:pPr>
      <w:keepNext w:val="1"/>
      <w:keepLines w:val="1"/>
      <w:tabs>
        <w:tab w:val="center" w:leader="none" w:pos="4513"/>
        <w:tab w:val="right" w:leader="none" w:pos="9026"/>
      </w:tabs>
      <w:spacing w:after="480" w:line="240" w:lineRule="auto"/>
    </w:pPr>
    <w:rPr>
      <w:rFonts w:ascii="Comic Sans MS" w:cs="Comic Sans MS" w:eastAsia="Comic Sans MS" w:hAnsi="Comic Sans MS"/>
      <w:color w:val="000000"/>
      <w:sz w:val="32"/>
      <w:szCs w:val="32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hyperlink" Target="https://plinkhq.com/i/1535431770/e/?to=page" TargetMode="External"/><Relationship Id="rId7" Type="http://schemas.openxmlformats.org/officeDocument/2006/relationships/hyperlink" Target="https://parentzone.org.uk/advice/parent-guides" TargetMode="Externa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